
<file path=[Content_Types].xml><?xml version="1.0" encoding="utf-8"?>
<Types xmlns="http://schemas.openxmlformats.org/package/2006/content-types">
  <Default Extension="svg" ContentType="image/svg+xml"/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36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36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8480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32965</wp:posOffset>
                </wp:positionV>
                <wp:extent cx="2676525" cy="1781175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20045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76524" cy="17811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68480;o:allowoverlap:true;o:allowincell:true;mso-position-horizontal-relative:text;margin-left:22.50pt;mso-position-horizontal:absolute;mso-position-vertical-relative:text;margin-top:2.60pt;mso-position-vertical:absolute;width:210.75pt;height:140.25pt;mso-wrap-distance-left:9.07pt;mso-wrap-distance-top:0.00pt;mso-wrap-distance-right:9.07pt;mso-wrap-distance-bottom:0.00pt;z-index:1;" wrapcoords="0 0 100000 0 100000 100000 0 100000" stroked="false">
                <w10:wrap type="through"/>
                <v:imagedata r:id="rId9" o:title=""/>
                <o:lock v:ext="edit" rotation="t"/>
              </v:shape>
            </w:pict>
          </mc:Fallback>
        </mc:AlternateContent>
      </w:r>
      <w:r>
        <w:rPr>
          <w:lang w:eastAsia="ru-RU"/>
        </w:rPr>
      </w:r>
      <w:r/>
      <w:r/>
      <w:r>
        <w:rPr>
          <w:lang w:eastAsia="ru-RU"/>
        </w:rPr>
      </w:r>
      <w:r/>
      <w:r>
        <w:rPr>
          <w:lang w:eastAsia="ru-RU"/>
        </w:rPr>
      </w:r>
      <w:r/>
      <w:r/>
      <w:r>
        <w:rPr>
          <w:lang w:eastAsia="ru-RU"/>
        </w:rPr>
      </w:r>
      <w:r/>
      <w:r/>
      <w:r/>
      <w:r/>
      <w:r/>
      <w:r>
        <w:rPr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</w:t>
      </w:r>
      <w:r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70528" behindDoc="0" locked="0" layoutInCell="1" allowOverlap="1">
                <wp:simplePos x="0" y="0"/>
                <wp:positionH relativeFrom="column">
                  <wp:posOffset>3937340</wp:posOffset>
                </wp:positionH>
                <wp:positionV relativeFrom="paragraph">
                  <wp:posOffset>57150</wp:posOffset>
                </wp:positionV>
                <wp:extent cx="2636180" cy="2034636"/>
                <wp:effectExtent l="0" t="0" r="0" b="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hrough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87882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2636178" cy="2034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70528;o:allowoverlap:true;o:allowincell:true;mso-position-horizontal-relative:text;margin-left:310.03pt;mso-position-horizontal:absolute;mso-position-vertical-relative:text;margin-top:4.50pt;mso-position-vertical:absolute;width:207.57pt;height:160.21pt;mso-wrap-distance-left:9.07pt;mso-wrap-distance-top:0.00pt;mso-wrap-distance-right:9.07pt;mso-wrap-distance-bottom:0.00pt;rotation:0;z-index:1;" wrapcoords="0 0 100000 0 100000 100000 0 100000" stroked="false">
                <w10:wrap type="through"/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36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br w:type="textWrapping" w:clear="all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tbl>
      <w:tblPr>
        <w:tblStyle w:val="658"/>
        <w:tblW w:w="0" w:type="auto"/>
        <w:tblInd w:w="4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4962"/>
      </w:tblGrid>
      <w:tr>
        <w:tblPrEx/>
        <w:trPr/>
        <w:tc>
          <w:tcPr>
            <w:tcW w:w="4962" w:type="dxa"/>
            <w:textDirection w:val="lrTb"/>
            <w:noWrap w:val="false"/>
          </w:tcPr>
          <w:p>
            <w:pPr>
              <w:spacing w:after="0"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jc w:val="right"/>
              <w:spacing w:after="0" w:line="360" w:lineRule="auto"/>
              <w:tabs>
                <w:tab w:val="left" w:pos="0" w:leader="none"/>
                <w:tab w:val="left" w:pos="5175" w:leader="none"/>
                <w:tab w:val="left" w:pos="23760" w:leader="none"/>
              </w:tabs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 xml:space="preserve">УЧЕБНЫЙ ПЛАН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основной профессиональной образовательной программы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  <w:t xml:space="preserve">государственного бюджетного профессионального</w:t>
      </w: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  <w:t xml:space="preserve">образовательного учреждения Ростовской области</w:t>
      </w: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  <w:t xml:space="preserve">«Волгодонский техникум общественного питания и торговли»</w:t>
      </w:r>
      <w:r>
        <w:rPr>
          <w:rFonts w:ascii="Times New Roman" w:hAnsi="Times New Roman" w:eastAsia="Calibri" w:cs="Times New Roman"/>
          <w:b/>
          <w:bCs/>
          <w:i/>
          <w:sz w:val="24"/>
          <w:szCs w:val="24"/>
          <w:u w:val="singl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  <w:t xml:space="preserve">наименование образовательного учреждения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по программе подготовки квалифицированных рабочих, служащих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sz w:val="24"/>
          <w:szCs w:val="24"/>
          <w:lang w:eastAsia="ru-RU"/>
        </w:rPr>
        <w:t xml:space="preserve">по профессии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среднего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  <w:lang w:eastAsia="ru-RU"/>
        </w:rPr>
        <w:t xml:space="preserve">43.01.09. Повар, кондитер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  <w:t xml:space="preserve"> код и наименование профессии СПО</w:t>
      </w:r>
      <w:r>
        <w:rPr>
          <w:rFonts w:ascii="Times New Roman" w:hAnsi="Times New Roman" w:eastAsia="Calibri" w:cs="Times New Roman"/>
          <w:bCs/>
          <w:i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Квалификация: 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  <w:t xml:space="preserve">повар 3-4 разряда, кондитер 3-4 разряда</w:t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Форма обучения – очная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Нор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мативный срок обучения ППКРС – 2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года 10 месяцев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на базе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  <w:t xml:space="preserve">основного общего образования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Профиль получаемого профессионального 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4"/>
          <w:szCs w:val="24"/>
          <w:lang w:eastAsia="ru-RU"/>
        </w:rPr>
        <w:t xml:space="preserve">социально-экономический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  <w:r>
        <w:rPr>
          <w:rFonts w:ascii="Times New Roman" w:hAnsi="Times New Roman" w:eastAsia="Calibri" w:cs="Times New Roman"/>
          <w:sz w:val="24"/>
          <w:szCs w:val="24"/>
          <w:lang w:eastAsia="ru-RU"/>
        </w:rPr>
      </w:r>
    </w:p>
    <w:p>
      <w:pPr>
        <w:spacing w:after="0" w:line="240" w:lineRule="auto"/>
        <w:tabs>
          <w:tab w:val="left" w:pos="0" w:leader="none"/>
          <w:tab w:val="left" w:pos="5175" w:leader="none"/>
          <w:tab w:val="left" w:pos="23760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r>
    </w:p>
    <w:p>
      <w:pPr>
        <w:pStyle w:val="659"/>
        <w:jc w:val="center"/>
      </w:pPr>
      <w:r>
        <w:rPr>
          <w:b/>
          <w:bCs/>
        </w:rPr>
        <w:t xml:space="preserve">1. Пояснительная записка</w:t>
      </w:r>
      <w:r/>
    </w:p>
    <w:p>
      <w:pPr>
        <w:pStyle w:val="659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Style w:val="659"/>
        <w:jc w:val="both"/>
      </w:pPr>
      <w:r>
        <w:rPr>
          <w:b/>
          <w:bCs/>
        </w:rPr>
        <w:t xml:space="preserve">1.1. Нормативная база реализации </w:t>
      </w:r>
      <w:r/>
    </w:p>
    <w:p>
      <w:pPr>
        <w:pStyle w:val="659"/>
        <w:jc w:val="both"/>
      </w:pPr>
      <w:r/>
      <w:r/>
    </w:p>
    <w:p>
      <w:pPr>
        <w:pStyle w:val="659"/>
        <w:ind w:firstLine="708"/>
        <w:jc w:val="both"/>
      </w:pPr>
      <w:r>
        <w:t xml:space="preserve">Настоящий учебный план программы подготовки квалифицированных рабочих, служащих среднего профессионального образования </w:t>
      </w:r>
      <w:r>
        <w:rPr>
          <w:b/>
          <w:bCs/>
          <w:i/>
          <w:iCs/>
        </w:rPr>
        <w:t xml:space="preserve">государственного бюджетного профессионального образовательного учреждения Ростовской области «Волгодонский техникум общественного питания и торговли» </w:t>
      </w:r>
      <w:r>
        <w:t xml:space="preserve">разработан на основе: </w:t>
      </w:r>
      <w:r/>
    </w:p>
    <w:p>
      <w:pPr>
        <w:pStyle w:val="659"/>
        <w:jc w:val="both"/>
        <w:spacing w:after="55"/>
      </w:pPr>
      <w:r>
        <w:t xml:space="preserve"> - Федерального государственного образовательного стандарта среднего профессионального образования (далее – СПО), утвержденного приказом Министерства образования и </w:t>
      </w:r>
      <w:r>
        <w:t xml:space="preserve">науки Российской Федерации № 1569 от 09.12.2016</w:t>
      </w:r>
      <w:r>
        <w:t xml:space="preserve"> года</w:t>
      </w:r>
      <w:r>
        <w:t xml:space="preserve"> </w:t>
      </w:r>
      <w:r>
        <w:t xml:space="preserve">(ред. от 03.07.2024)</w:t>
      </w:r>
      <w:r>
        <w:t xml:space="preserve">,</w:t>
      </w:r>
      <w:r>
        <w:t xml:space="preserve"> зарегистрированного Министерством юстиции Российск</w:t>
      </w:r>
      <w:r>
        <w:t xml:space="preserve">ой Федерации (рег. № 44898 от 22 дека</w:t>
      </w:r>
      <w:r>
        <w:t xml:space="preserve">бр</w:t>
      </w:r>
      <w:r>
        <w:t xml:space="preserve">я 2016 г.) по профессии 43.01.09 Повар, кондитер</w:t>
      </w:r>
      <w:r>
        <w:t xml:space="preserve">; </w:t>
      </w:r>
      <w:r/>
    </w:p>
    <w:p>
      <w:pPr>
        <w:pStyle w:val="659"/>
        <w:jc w:val="both"/>
        <w:spacing w:after="55"/>
      </w:pPr>
      <w:r>
        <w:t xml:space="preserve">- Закона «Об образовании в Российской Федерации» от 29 декабря 2012 г. № 273-ФЗ; </w:t>
      </w:r>
      <w:r/>
    </w:p>
    <w:p>
      <w:pPr>
        <w:jc w:val="bot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84521878"/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Порядк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 w:bidi="ar"/>
        </w:rPr>
        <w:t xml:space="preserve">а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 разработки приме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0"/>
      <w:r/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rPr>
          <w:rFonts w:ascii="Times New Roman" w:hAnsi="Times New Roman" w:eastAsia="SimSun" w:cs="Times New Roman"/>
          <w:bCs/>
          <w:sz w:val="24"/>
          <w:szCs w:val="24"/>
          <w:lang w:val="ru"/>
        </w:rPr>
      </w:pP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- Порядк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 w:bidi="ar"/>
        </w:rPr>
        <w:t xml:space="preserve">а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  <w:r>
        <w:rPr>
          <w:rFonts w:ascii="Times New Roman" w:hAnsi="Times New Roman" w:eastAsia="SimSun" w:cs="Times New Roman"/>
          <w:bCs/>
          <w:sz w:val="24"/>
          <w:szCs w:val="24"/>
          <w:lang w:val="ru"/>
        </w:rPr>
      </w:r>
    </w:p>
    <w:p>
      <w:pPr>
        <w:jc w:val="both"/>
        <w:spacing w:after="0"/>
        <w:rPr>
          <w:rFonts w:ascii="Times New Roman" w:hAnsi="Times New Roman" w:eastAsia="SimSun" w:cs="Times New Roman"/>
          <w:bCs/>
          <w:sz w:val="24"/>
          <w:szCs w:val="24"/>
          <w:lang w:val="ru"/>
        </w:rPr>
      </w:pP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- Порядк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 w:bidi="ar"/>
        </w:rPr>
        <w:t xml:space="preserve">а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  <w:r>
        <w:rPr>
          <w:rFonts w:ascii="Times New Roman" w:hAnsi="Times New Roman" w:eastAsia="SimSun" w:cs="Times New Roman"/>
          <w:bCs/>
          <w:sz w:val="24"/>
          <w:szCs w:val="24"/>
          <w:lang w:val="ru"/>
        </w:rPr>
      </w:r>
    </w:p>
    <w:p>
      <w:pPr>
        <w:jc w:val="both"/>
        <w:spacing w:after="0"/>
        <w:rPr>
          <w:rFonts w:ascii="Times New Roman" w:hAnsi="Times New Roman" w:eastAsia="SimSun" w:cs="Times New Roman"/>
          <w:bCs/>
          <w:sz w:val="24"/>
          <w:szCs w:val="24"/>
          <w:lang w:val="ru"/>
        </w:rPr>
      </w:pP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- Положени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 w:bidi="ar"/>
        </w:rPr>
        <w:t xml:space="preserve">я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 о практической подготовке обучающихся (Приказ Минобрнауки России № 885, Минпросвещения России № 390 от 05.08.2020);</w:t>
      </w:r>
      <w:r>
        <w:rPr>
          <w:rFonts w:ascii="Times New Roman" w:hAnsi="Times New Roman" w:eastAsia="SimSun" w:cs="Times New Roman"/>
          <w:bCs/>
          <w:sz w:val="24"/>
          <w:szCs w:val="24"/>
          <w:lang w:val="ru"/>
        </w:rPr>
      </w:r>
    </w:p>
    <w:p>
      <w:pPr>
        <w:jc w:val="both"/>
        <w:spacing w:after="0"/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</w:pP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  <w:t xml:space="preserve">- Перечн</w:t>
      </w: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eastAsia="zh-CN" w:bidi="ar"/>
        </w:rPr>
        <w:t xml:space="preserve">я</w:t>
      </w: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  <w:t xml:space="preserve"> профессий рабочих, должностей служащих, по которым осуществляется профессиональное обучение (Приказ Минпросвещения России от 14.07.2023 № 534);</w:t>
      </w: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</w:r>
    </w:p>
    <w:p>
      <w:pPr>
        <w:pStyle w:val="659"/>
        <w:jc w:val="both"/>
        <w:spacing w:after="55"/>
        <w:rPr>
          <w:rFonts w:eastAsia="SimSun"/>
          <w:bCs/>
          <w:lang w:eastAsia="zh-CN" w:bidi="ar"/>
        </w:rPr>
      </w:pPr>
      <w:r>
        <w:rPr>
          <w:rFonts w:eastAsia="SimSun"/>
          <w:bCs/>
          <w:lang w:eastAsia="zh-CN" w:bidi="ar"/>
        </w:rPr>
        <w:t xml:space="preserve">- </w:t>
      </w:r>
      <w:r>
        <w:t xml:space="preserve">Устава ГБПОУ РО «ВТОПиТ»; </w:t>
      </w:r>
      <w:r>
        <w:rPr>
          <w:rFonts w:eastAsia="SimSun"/>
          <w:bCs/>
          <w:lang w:eastAsia="zh-CN" w:bidi="ar"/>
        </w:rPr>
      </w:r>
    </w:p>
    <w:p>
      <w:pPr>
        <w:jc w:val="both"/>
        <w:spacing w:after="0"/>
        <w:rPr>
          <w:rFonts w:ascii="Times New Roman" w:hAnsi="Times New Roman" w:eastAsia="SimSun" w:cs="Times New Roman"/>
          <w:bCs/>
          <w:sz w:val="24"/>
          <w:szCs w:val="24"/>
          <w:lang w:val="ru"/>
        </w:rPr>
      </w:pP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  <w:t xml:space="preserve">- Приказ</w:t>
      </w: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eastAsia="zh-CN" w:bidi="ar"/>
        </w:rPr>
        <w:t xml:space="preserve">а</w:t>
      </w:r>
      <w:r>
        <w:rPr>
          <w:rFonts w:ascii="Times New Roman" w:hAnsi="Times New Roman" w:eastAsia="SimSun" w:cs="Times New Roman"/>
          <w:bCs/>
          <w:color w:val="000000"/>
          <w:sz w:val="24"/>
          <w:szCs w:val="24"/>
          <w:lang w:val="ru" w:eastAsia="zh-CN" w:bidi="ar"/>
        </w:rPr>
        <w:t xml:space="preserve"> Минпросвещения России от 17.05.2022 № 336 «Об утверждении перечней профессий и 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</w:t>
      </w:r>
      <w:r>
        <w:rPr>
          <w:rFonts w:ascii="Times New Roman" w:hAnsi="Times New Roman" w:eastAsia="SimSun" w:cs="Times New Roman"/>
          <w:bCs/>
          <w:sz w:val="24"/>
          <w:szCs w:val="24"/>
          <w:lang w:val="ru" w:eastAsia="zh-CN" w:bidi="ar"/>
        </w:rPr>
        <w:t xml:space="preserve">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  <w:r>
        <w:rPr>
          <w:rFonts w:ascii="Times New Roman" w:hAnsi="Times New Roman" w:eastAsia="SimSun" w:cs="Times New Roman"/>
          <w:bCs/>
          <w:sz w:val="24"/>
          <w:szCs w:val="24"/>
          <w:lang w:val="ru"/>
        </w:rPr>
      </w:r>
    </w:p>
    <w:p>
      <w:pPr>
        <w:jc w:val="both"/>
        <w:spacing w:after="0"/>
        <w:shd w:val="clear" w:color="auto" w:fill="ffffff"/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val="ru"/>
        </w:rPr>
      </w:pP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val="ru" w:eastAsia="zh-CN" w:bidi="ar"/>
        </w:rPr>
        <w:t xml:space="preserve">- Перечн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eastAsia="zh-CN" w:bidi="ar"/>
        </w:rPr>
        <w:t xml:space="preserve">я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val="ru" w:eastAsia="zh-CN" w:bidi="ar"/>
        </w:rPr>
        <w:t xml:space="preserve"> профессий и спец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val="ru" w:eastAsia="zh-CN" w:bidi="ar"/>
        </w:rPr>
        <w:t xml:space="preserve">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  <w:r>
        <w:rPr>
          <w:rFonts w:ascii="Times New Roman" w:hAnsi="Times New Roman" w:eastAsia="Calibri" w:cs="Times New Roman"/>
          <w:sz w:val="24"/>
          <w:szCs w:val="24"/>
          <w:shd w:val="clear" w:color="auto" w:fill="ffffff"/>
          <w:lang w:val="ru"/>
        </w:rPr>
      </w:r>
    </w:p>
    <w:p>
      <w:pPr>
        <w:pStyle w:val="659"/>
        <w:jc w:val="both"/>
      </w:pPr>
      <w:r/>
      <w:r/>
    </w:p>
    <w:p>
      <w:pPr>
        <w:pStyle w:val="659"/>
        <w:jc w:val="both"/>
      </w:pPr>
      <w:r>
        <w:rPr>
          <w:b/>
          <w:bCs/>
        </w:rPr>
        <w:t xml:space="preserve">1.2. Организация учебного процесса и режим занятий </w:t>
      </w:r>
      <w:r/>
    </w:p>
    <w:p>
      <w:pPr>
        <w:pStyle w:val="659"/>
        <w:jc w:val="both"/>
      </w:pPr>
      <w:r/>
      <w:r/>
    </w:p>
    <w:p>
      <w:pPr>
        <w:pStyle w:val="659"/>
        <w:ind w:firstLine="708"/>
        <w:jc w:val="both"/>
      </w:pPr>
      <w:r>
        <w:t xml:space="preserve">Продолжительность учебных занятий составляет 45 мин, в расписании учебные занятия группируются парами. </w:t>
      </w:r>
      <w:r/>
    </w:p>
    <w:p>
      <w:pPr>
        <w:pStyle w:val="659"/>
        <w:ind w:firstLine="708"/>
        <w:jc w:val="both"/>
      </w:pPr>
      <w:r>
        <w:t xml:space="preserve">Объем работы обучающихся во взаимодействии с преподавателями по видам учебных занятий составляет 36 часов в неделю. </w:t>
      </w:r>
      <w:r/>
    </w:p>
    <w:p>
      <w:pPr>
        <w:pStyle w:val="659"/>
        <w:ind w:firstLine="708"/>
        <w:jc w:val="both"/>
      </w:pPr>
      <w:r>
        <w:t xml:space="preserve">Общий объем образоват</w:t>
      </w:r>
      <w:r>
        <w:t xml:space="preserve">ельной программы составляет 4428 часов</w:t>
      </w:r>
      <w:r>
        <w:t xml:space="preserve">: </w:t>
      </w:r>
      <w:r/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общеобразовательный цикл (включая промежуточную аттестацию) – 1476 часа;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общепрофессиональ</w:t>
      </w:r>
      <w:r>
        <w:rPr>
          <w:color w:val="auto"/>
        </w:rPr>
        <w:t xml:space="preserve">ный цикл – 726 часов</w:t>
      </w:r>
      <w:r>
        <w:rPr>
          <w:color w:val="auto"/>
        </w:rPr>
        <w:t xml:space="preserve">;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профессиональный цикл – 2118</w:t>
      </w:r>
      <w:r>
        <w:rPr>
          <w:color w:val="auto"/>
        </w:rPr>
        <w:t xml:space="preserve"> часов (включая учебную и производственную практики);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государственная итоговая аттестация – 36 часов.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Практика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При реализации ППКРС предусматриваются следующие виды практик: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учебная практика;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производственная практика.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Учебная и производственная практики реализуются при освоении обучающимися профессиональных модулей: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 учебная практика – 504 часа (14</w:t>
      </w:r>
      <w:r>
        <w:rPr>
          <w:color w:val="auto"/>
        </w:rPr>
        <w:t xml:space="preserve"> недель)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  <w:t xml:space="preserve">-</w:t>
      </w:r>
      <w:r>
        <w:rPr>
          <w:color w:val="auto"/>
        </w:rPr>
        <w:t xml:space="preserve"> производственная практика – 792 часов (22 недели</w:t>
      </w:r>
      <w:r>
        <w:rPr>
          <w:color w:val="auto"/>
        </w:rPr>
        <w:t xml:space="preserve">)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Учебная практика проводится в лабораториях техникума. Учебная и производственная практики реализовываются как концентрированно в несколько периодов, так и рассредоточено, чередуясь с теоретическими занятиями в рамках профессиональных модулей.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Цели и задачи, программы и формы отчетности определяются по каждому виду практики.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обучающихся, на основе прямых договоров между организацией (предприятием) и ГБПОУ РО «ВТОПиТ».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При прове</w:t>
      </w:r>
      <w:r>
        <w:rPr>
          <w:color w:val="auto"/>
        </w:rPr>
        <w:t xml:space="preserve">дении лабораторных работ, практических занятий, занятий по иностранному языку, на персональных компьютерах, учебных занятий по отдельным дисциплинам, перечень которых определяется методическим советом Техникума, учебная группа может делиться на подгруппы.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Получение СПО на базе основного общего образования осуществляется с одновременным получением среднего общего образования в пределах ОПОП.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Форма и процедуры текущего кон</w:t>
      </w:r>
      <w:r>
        <w:rPr>
          <w:color w:val="auto"/>
        </w:rPr>
        <w:t xml:space="preserve">троля знаний – устный, письменный (тесты, задачи, схемы и т.п.), деловые игры. Текущий контроль знаний предусматривает систематическую проверку качества полученных студентами компетенций по всем изучаемым в семестре дисциплинам и профессиональным модулям.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Формами текущей аттестации являются: письменные работы, самостоятельные работы, фронтальные работы, групповые работы, семинарские занятия, контрольные работы, срезовые работы, административные проверочные работы, тесты и т.д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Форму теку</w:t>
      </w:r>
      <w:r>
        <w:rPr>
          <w:color w:val="auto"/>
        </w:rPr>
        <w:t xml:space="preserve">щей аттестации определяет преподаватель с учетом контингента обучающихся, содержания учебного материала. Текущий контроль преподаватели проводят в пределах учебного времени как традиционными, так и инновационными методами, включая компьютерные технологии.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Основ</w:t>
      </w:r>
      <w:r>
        <w:rPr>
          <w:color w:val="auto"/>
        </w:rPr>
        <w:t xml:space="preserve">ными формами промежуточной аттестации являются: экзамен, квалификационный экзамен, дифференцированный зачет, зачет. При отсутствии в плане образовательного процесса формы промежуточной аттестации по дисциплине применяется накопительная система оценивания.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Промежуточная аттестация в форме зач</w:t>
      </w:r>
      <w:r>
        <w:rPr>
          <w:color w:val="auto"/>
        </w:rPr>
        <w:t xml:space="preserve">ета, дифференцированного зачета проводится за счет часов, отведенных на освоение соответствующего модуля или дисциплины. При проведении зачетов учитывается текущая успеваемость обучающихся. По окончании изучения модуля проводится квалификационный экзамен.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Промежуточная аттестация обучающихся проводится в течение каждого семестра, по мере выполнения программы по дисциплинам, в соответствии с учебным планом и графиком учебного процесса.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Государственная итоговая аттестация выпускников проводится в форме демонстрационного экзамена. </w:t>
      </w:r>
      <w:r>
        <w:rPr>
          <w:color w:val="auto"/>
        </w:rPr>
      </w:r>
    </w:p>
    <w:p>
      <w:pPr>
        <w:pStyle w:val="659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b/>
          <w:bCs/>
          <w:color w:val="auto"/>
        </w:rPr>
        <w:t xml:space="preserve">1.3. Общеобразовательный цикл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Общеобразовательный цикл основной профессиональной образовательной программы среднего профессионального образования по данной профессии сформирован с учетом профиля получаемого образования. Данная профессия относится к социально-экономическому профилю.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Общеобразовательные дисциплины изучаются рассредоточено одновременно с освоением программы подготовки квалифицированных рабочих и служащих. Умения и зна</w:t>
      </w:r>
      <w:r>
        <w:rPr>
          <w:color w:val="auto"/>
        </w:rPr>
        <w:t xml:space="preserve">ния, полученные обучающимися при освоении учебных дисциплин общеобразовательного цикла, углубляются и расширяются в процессе изучения по профессии дисциплин общепрофессионального цикла, а также отдельных дисциплин профессионального цикла ОПОП СПО (ППКРС).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Общеобразовательный цикл вклю</w:t>
      </w:r>
      <w:r>
        <w:rPr>
          <w:color w:val="auto"/>
        </w:rPr>
        <w:t xml:space="preserve">чает общеобразовательные учебные дисциплины: Русский язык, Литература, Иностранный язык, Математика, Информатика, История, Обществознание, География, Физика, Химия, Биология, Физическая культура, Основы безопасности и защиты родины, Индивидуальный проект.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Учет профессиональной направленности образовательной программы СПО осуществляется в виде формирования профессионально-ориентированного содержания в каждой общеобразовательной дисциплине.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Промежуточная аттестация обучающихся при освоении програм</w:t>
      </w:r>
      <w:r>
        <w:rPr>
          <w:color w:val="auto"/>
        </w:rPr>
        <w:t xml:space="preserve">мы среднего общего образования проводится в форме зачетов и дифференцированных зачетов, и экзаменов. Зачеты, дифференцированные зачеты – за счет времени, отведенного на общеобразовательную дисциплину, экзамены – за счет времени, отведенного учебным планом.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Завершающим этапом промежуточной аттестации являются экзамены по дисциплинам: - русский язык – письмен</w:t>
      </w:r>
      <w:r>
        <w:rPr>
          <w:color w:val="auto"/>
        </w:rPr>
        <w:t xml:space="preserve">но; - математика – письменно; - химия – письменно.</w:t>
      </w:r>
      <w:r>
        <w:rPr>
          <w:color w:val="auto"/>
        </w:rPr>
      </w:r>
    </w:p>
    <w:p>
      <w:pPr>
        <w:pStyle w:val="659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b/>
          <w:bCs/>
          <w:color w:val="auto"/>
        </w:rPr>
        <w:t xml:space="preserve">1.4. Формирование вариативной части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Вариативная часть образовательной </w:t>
      </w:r>
      <w:r>
        <w:rPr>
          <w:color w:val="auto"/>
        </w:rPr>
        <w:t xml:space="preserve">программы составляет не менее 20</w:t>
      </w:r>
      <w:r>
        <w:rPr>
          <w:color w:val="auto"/>
        </w:rPr>
        <w:t xml:space="preserve"> процентов от общего объема времени, дает возможность расширения основных видов деятельности, к которым должен быть готов выпускник, освоивший образовательную про</w:t>
      </w:r>
      <w:r>
        <w:rPr>
          <w:color w:val="auto"/>
        </w:rPr>
        <w:t xml:space="preserve">грамму, согласно получаемой квалификации, углубления профессиональной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На</w:t>
      </w:r>
      <w:r>
        <w:rPr>
          <w:color w:val="auto"/>
        </w:rPr>
        <w:t xml:space="preserve"> вариативную часть отводится 648 часов</w:t>
      </w:r>
      <w:r>
        <w:rPr>
          <w:color w:val="auto"/>
        </w:rPr>
        <w:t xml:space="preserve">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Соотношение объемов обязательной части и вариативной чисти образовательной программы определена самостоятельно в соответствии с требованиями ФГОС СПО. </w:t>
      </w:r>
      <w:r>
        <w:rPr>
          <w:color w:val="auto"/>
        </w:rPr>
      </w:r>
    </w:p>
    <w:p>
      <w:pPr>
        <w:pStyle w:val="659"/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b/>
          <w:bCs/>
          <w:color w:val="auto"/>
        </w:rPr>
        <w:t xml:space="preserve">1.5. Порядок аттестации обучающихся </w:t>
      </w:r>
      <w:r>
        <w:rPr>
          <w:color w:val="auto"/>
        </w:rPr>
      </w:r>
    </w:p>
    <w:p>
      <w:pPr>
        <w:pStyle w:val="659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Оценка качества освоения основной профессиональной программы включает текущий контроль знаний, промежуточную и государственную итоговую аттестацию обучающихся.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Оценка качества подготовки студентов осуществляется в двух основных направлениях: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- оценка уровня освоения дисциплин;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- оценка компетенций студентов.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Для юношей предусматривается оценка результатов освоения основ военной службы.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Для оценки знаний, умений, общих и профессиональных компетенций разработаны контрольно-оценочные средства, фонды оценочных средств.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Промежу</w:t>
      </w:r>
      <w:r>
        <w:rPr>
          <w:color w:val="auto"/>
        </w:rPr>
        <w:t xml:space="preserve">точная аттестация обучающихся по дисциплинам и модулям проводится в форме зачетов и дифференцированных зачетов, экзаменов: зачеты, дифференцированные зачеты – за счет времени, отведенного дисциплину, экзамены – за счет времени, отведенного учебным планом.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Формой итоговой аттестации по модулю является квалификационный экзамен, который представляет собой форму независимой оценки результатов обучения с участием работодателей; по его итогам возможно присвоение выпускнику определенной квалификации.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Условием положительной аттестации на квалификационном экзамене 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</w:t>
      </w:r>
      <w:r>
        <w:rPr>
          <w:color w:val="auto"/>
        </w:rPr>
        <w:t xml:space="preserve">етенций принимается решение «вид профессиональной деятельности не освоен». Условием допуска к квалификационному экзамену является успешное освоение обучающимися всех элементов программы профессионального модуля: теоретической части модуля (МДК) и практик. </w:t>
      </w:r>
      <w:r>
        <w:rPr>
          <w:color w:val="auto"/>
        </w:rPr>
      </w:r>
    </w:p>
    <w:p>
      <w:pPr>
        <w:pStyle w:val="659"/>
        <w:ind w:firstLine="708"/>
        <w:jc w:val="both"/>
        <w:rPr>
          <w:color w:val="auto"/>
        </w:rPr>
      </w:pPr>
      <w:r>
        <w:rPr>
          <w:color w:val="auto"/>
        </w:rPr>
        <w:t xml:space="preserve">Необходимым условием допус</w:t>
      </w:r>
      <w:r>
        <w:rPr>
          <w:color w:val="auto"/>
        </w:rPr>
        <w:t xml:space="preserve">ка выпускников к государственной итоговой аттестации является представление документов, подтверждающих освоение обучающими компетенций при изучении теоретического материала и прохождении практики по каждому из основных видов профессиональной деятельности. </w:t>
      </w:r>
      <w:r>
        <w:rPr>
          <w:color w:val="auto"/>
        </w:rPr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Государственная итоговая аттестация выпускников проводится в форме демонстрационного экзамена.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Сводные данные по бюджету времени</w:t>
      </w:r>
      <w:r>
        <w:rPr>
          <w:rFonts w:ascii="Times New Roman" w:hAnsi="Times New Roman" w:cs="Times New Roman"/>
        </w:rPr>
      </w:r>
    </w:p>
    <w:p>
      <w:r/>
      <w:r/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838315" cy="1990725"/>
                <wp:effectExtent l="0" t="0" r="635" b="9525"/>
                <wp:docPr id="3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6840462" cy="199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538.45pt;height:156.75pt;mso-wrap-distance-left:0.00pt;mso-wrap-distance-top:0.00pt;mso-wrap-distance-right:0.00pt;mso-wrap-distance-bottom:0.00pt;z-index:1;" stroked="f">
                <v:imagedata r:id="rId11" o:title=""/>
                <o:lock v:ext="edit" rotation="t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ectPr>
          <w:footnotePr/>
          <w:endnotePr/>
          <w:type w:val="nextPage"/>
          <w:pgSz w:w="11906" w:h="16838" w:orient="portrait"/>
          <w:pgMar w:top="567" w:right="567" w:bottom="567" w:left="567" w:header="708" w:footer="708" w:gutter="0"/>
          <w:cols w:num="1" w:sep="0" w:space="708" w:equalWidth="1"/>
          <w:docGrid w:linePitch="360"/>
        </w:sectPr>
      </w:pPr>
      <w:r>
        <w:br w:type="page" w:clear="all"/>
      </w:r>
      <w:r/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План учебного процесса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rPr>
          <w:rFonts w:ascii="Times New Roman" w:hAnsi="Times New Roman" w:cs="Times New Roman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970770" cy="6353175"/>
                <wp:effectExtent l="0" t="0" r="0" b="9525"/>
                <wp:docPr id="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>
                          <a:extLst>
                            <a:ext uri="{96DAC541-7B7A-43D3-8B79-37D633B846F1}">
                              <asvg:svgBlip xmlns:asvg="http://schemas.microsoft.com/office/drawing/2016/SVG/main" r:embed="rId14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971310" cy="6353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785.10pt;height:500.25pt;mso-wrap-distance-left:0.00pt;mso-wrap-distance-top:0.00pt;mso-wrap-distance-right:0.00pt;mso-wrap-distance-bottom:0.00pt;z-index:1;" stroked="f">
                <v:imagedata r:id="rId13" o:title=""/>
                <o:lock v:ext="edit" rotation="t"/>
              </v:shape>
            </w:pict>
          </mc:Fallback>
        </mc:AlternateContent>
      </w:r>
      <w:bookmarkStart w:id="1" w:name="_GoBack"/>
      <w:r/>
      <w:bookmarkEnd w:id="1"/>
      <w:r/>
      <w:r>
        <w:rPr>
          <w:rFonts w:ascii="Times New Roman" w:hAnsi="Times New Roman" w:cs="Times New Roman"/>
        </w:rPr>
      </w:r>
    </w:p>
    <w:p>
      <w:pPr>
        <w:jc w:val="both"/>
        <w:rPr>
          <w:rFonts w:ascii="Times New Roman" w:hAnsi="Times New Roman" w:cs="Times New Roman"/>
        </w:rPr>
        <w:sectPr>
          <w:footnotePr/>
          <w:endnotePr/>
          <w:type w:val="nextPage"/>
          <w:pgSz w:w="16838" w:h="11906" w:orient="landscape"/>
          <w:pgMar w:top="567" w:right="567" w:bottom="567" w:left="567" w:header="708" w:footer="708" w:gutter="0"/>
          <w:cols w:num="1" w:sep="0" w:space="708" w:equalWidth="1"/>
          <w:docGrid w:linePitch="360"/>
        </w:sect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971716" cy="7086600"/>
                <wp:effectExtent l="0" t="0" r="0" b="0"/>
                <wp:docPr id="5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>
                          <a:extLst>
                            <a:ext uri="{96DAC541-7B7A-43D3-8B79-37D633B846F1}">
                              <asvg:svgBlip xmlns:asvg="http://schemas.microsoft.com/office/drawing/2016/SVG/main" r:embed="rId16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9975772" cy="70894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" o:spid="_x0000_s4" type="#_x0000_t75" style="width:785.17pt;height:558.00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tabs>
          <w:tab w:val="left" w:pos="94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Перечень кабинетов, лабораторий, мастерских и других помещений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/>
        <w:tabs>
          <w:tab w:val="left" w:pos="94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подготовки профессии.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tabs>
          <w:tab w:val="left" w:pos="945" w:leader="none"/>
        </w:tabs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b/>
          <w:sz w:val="12"/>
          <w:szCs w:val="12"/>
        </w:rPr>
      </w:r>
      <w:r>
        <w:rPr>
          <w:rFonts w:ascii="Times New Roman" w:hAnsi="Times New Roman" w:cs="Times New Roman"/>
          <w:b/>
          <w:sz w:val="12"/>
          <w:szCs w:val="12"/>
        </w:rPr>
      </w:r>
    </w:p>
    <w:p>
      <w:pPr>
        <w:jc w:val="center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Кабинеты: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Русский язык и литература; деловая культура;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Математика;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Физика;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Информатика;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Английский язык;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Немецкий язык;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Основы безопасности и защиты родины; Охрана труда; Стрелковый тир (электронный);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Социально-экономические дисциплины; история и обществоведение;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Химия, микробиология, физиология питания, санитария и гигиена</w:t>
      </w:r>
      <w:r>
        <w:rPr>
          <w:rFonts w:ascii="Times New Roman" w:hAnsi="Times New Roman" w:cs="Times New Roman"/>
          <w:sz w:val="24"/>
          <w:szCs w:val="24"/>
        </w:rPr>
        <w:tab/>
        <w:t xml:space="preserve">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Товароведение продовольственных товаров;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Техническое оснащение и организация рабочего места;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Технология кулинарного и кондитерского производства;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Организация и обслуживание, бухгалтерский учёт.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Спортивный комплекс: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Спортивный зал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Открытая площадка с элементами полосы препятствия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Залы: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Актовый зал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/>
        <w:tabs>
          <w:tab w:val="left" w:pos="945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Библиотека, читальный зал с выходом в сеть Интернет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567" w:right="567" w:bottom="567" w:left="56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Segoe UI">
    <w:panose1 w:val="020B0502040204020203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/>
      </w:pPr>
      <w:r>
        <w:separator/>
      </w:r>
      <w:r/>
    </w:p>
  </w:footnote>
  <w:footnote w:type="continuationSeparator" w:id="0">
    <w:p>
      <w:pPr>
        <w:spacing w:after="0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5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4"/>
    <w:next w:val="65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55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5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5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5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5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5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5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5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5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5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55"/>
    <w:link w:val="43"/>
    <w:uiPriority w:val="99"/>
  </w:style>
  <w:style w:type="paragraph" w:styleId="45">
    <w:name w:val="Footer"/>
    <w:basedOn w:val="65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55"/>
    <w:link w:val="45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55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55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5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655" w:default="1">
    <w:name w:val="Default Paragraph Font"/>
    <w:uiPriority w:val="1"/>
    <w:semiHidden/>
    <w:unhideWhenUsed/>
  </w:style>
  <w:style w:type="table" w:styleId="6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7" w:default="1">
    <w:name w:val="No List"/>
    <w:uiPriority w:val="99"/>
    <w:semiHidden/>
    <w:unhideWhenUsed/>
  </w:style>
  <w:style w:type="table" w:styleId="658">
    <w:name w:val="Table Grid"/>
    <w:basedOn w:val="65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59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660">
    <w:name w:val="Balloon Text"/>
    <w:basedOn w:val="654"/>
    <w:link w:val="6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61" w:customStyle="1">
    <w:name w:val="Текст выноски Знак"/>
    <w:basedOn w:val="655"/>
    <w:link w:val="660"/>
    <w:uiPriority w:val="99"/>
    <w:semiHidden/>
    <w:rPr>
      <w:rFonts w:ascii="Segoe UI" w:hAnsi="Segoe UI" w:cs="Segoe UI" w:eastAsiaTheme="minorHAnsi"/>
      <w:sz w:val="18"/>
      <w:szCs w:val="1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emf"/><Relationship Id="rId12" Type="http://schemas.openxmlformats.org/officeDocument/2006/relationships/image" Target="media/media1.svg"/><Relationship Id="rId13" Type="http://schemas.openxmlformats.org/officeDocument/2006/relationships/image" Target="media/image4.emf"/><Relationship Id="rId14" Type="http://schemas.openxmlformats.org/officeDocument/2006/relationships/image" Target="media/media2.svg"/><Relationship Id="rId15" Type="http://schemas.openxmlformats.org/officeDocument/2006/relationships/image" Target="media/image5.emf"/><Relationship Id="rId16" Type="http://schemas.openxmlformats.org/officeDocument/2006/relationships/image" Target="media/media3.sv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93388-A532-4C38-97A4-B6DFCDBD2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UchChast1</cp:lastModifiedBy>
  <cp:revision>57</cp:revision>
  <dcterms:created xsi:type="dcterms:W3CDTF">2025-05-18T21:24:00Z</dcterms:created>
  <dcterms:modified xsi:type="dcterms:W3CDTF">2026-10-19T10:54:59Z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C03D704B918E44B4B324943305597E93_12</vt:lpwstr>
  </property>
</Properties>
</file>