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tbl>
      <w:tblPr>
        <w:tblStyle w:val="637"/>
        <w:tblW w:w="9922" w:type="dxa"/>
        <w:tblInd w:w="42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960"/>
        <w:gridCol w:w="496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0" w:type="dxa"/>
            <w:textDirection w:val="lrTb"/>
            <w:noWrap w:val="false"/>
          </w:tcPr>
          <w:p>
            <w:pPr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2" w:type="dxa"/>
            <w:textDirection w:val="lrTb"/>
            <w:noWrap w:val="false"/>
          </w:tcPr>
          <w:p>
            <w:pPr>
              <w:jc w:val="right"/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0" w:type="dxa"/>
            <w:textDirection w:val="lrTb"/>
            <w:noWrap w:val="false"/>
          </w:tcPr>
          <w:p>
            <w:pPr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019425" cy="1968500"/>
                      <wp:effectExtent l="0" t="0" r="0" b="0"/>
                      <wp:docPr id="1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png"/>
                              <pic:cNvPicPr/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19425" cy="19685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237.75pt;height:155.00pt;mso-wrap-distance-left:0.00pt;mso-wrap-distance-top:0.00pt;mso-wrap-distance-right:0.00pt;mso-wrap-distance-bottom:0.00pt;z-index:1;">
                      <v:imagedata r:id="rId8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2" w:type="dxa"/>
            <w:textDirection w:val="lrTb"/>
            <w:noWrap w:val="false"/>
          </w:tcPr>
          <w:p>
            <w:pPr>
              <w:jc w:val="right"/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36180" cy="2034635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423674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636179" cy="20346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207.57pt;height:160.21pt;mso-wrap-distance-left:0.00pt;mso-wrap-distance-top:0.00pt;mso-wrap-distance-right:0.00pt;mso-wrap-distance-bottom:0.00pt;z-index:1;" stroked="false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0" w:type="dxa"/>
            <w:textDirection w:val="lrTb"/>
            <w:noWrap w:val="false"/>
          </w:tcPr>
          <w:p>
            <w:pPr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2" w:type="dxa"/>
            <w:textDirection w:val="lrTb"/>
            <w:noWrap w:val="false"/>
          </w:tcPr>
          <w:p>
            <w:pPr>
              <w:jc w:val="right"/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0" w:type="dxa"/>
            <w:textDirection w:val="lrTb"/>
            <w:noWrap w:val="false"/>
          </w:tcPr>
          <w:p>
            <w:pPr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2" w:type="dxa"/>
            <w:textDirection w:val="lrTb"/>
            <w:noWrap w:val="false"/>
          </w:tcPr>
          <w:p>
            <w:pPr>
              <w:jc w:val="right"/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0" w:type="dxa"/>
            <w:textDirection w:val="lrTb"/>
            <w:noWrap w:val="false"/>
          </w:tcPr>
          <w:p>
            <w:pPr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2" w:type="dxa"/>
            <w:textDirection w:val="lrTb"/>
            <w:noWrap w:val="false"/>
          </w:tcPr>
          <w:p>
            <w:pPr>
              <w:jc w:val="right"/>
              <w:spacing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УЧЕБНЫЙ ПЛАН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основной профессиональной образовательной программы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среднего профессионального 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  <w:t xml:space="preserve">государственного бюджетного профессионального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  <w:t xml:space="preserve">образовательного учреждения Ростовской области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  <w:t xml:space="preserve">«Волгодонский техникум общественного питания и торговли»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наименование образовательного учреждения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программе подготовки квалифицированных рабочих, служащих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профессии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среднего профессионального 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</w:rPr>
        <w:t xml:space="preserve">38.01.02. Продавец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код и наименование профессии СПО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Квалификация: продавец- кассир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Форма обучения – очная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Нормативный срок обучения ППКРС – 1 год 10 мес.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базе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основного общего образования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Профиль получаемого профессионального 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социально-экономический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 Пояснительная записка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1.1. Нормативная база реализации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Настоящий учебный план программы подготовки квалифицированных рабочих, служащих среднего профессионального образования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государственного бюджетного профессионального образовательного учреждения Ростовской области «Волгодонский техникум общественного питания и торговли»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разработан на основе: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55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- Федерального государственного образовательного стандарта среднего профессионального образов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ания (далее – СПО), утвержденного приказом Министерства образования и науки Российской Федерации № 518 от 01.08.2024 года, зарегистрированного Министерством юстиции Российской Федерации (рег. № 79379 от 04 сентября 2024 г.) по профессии 38.01.02 Продавец;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55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Закона «Об образовании в Российской Федерации» от 29 декабря 2012 г. № 273-ФЗ;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/>
      <w:bookmarkStart w:id="0" w:name="_x6sj1a8i4a6w"/>
      <w:r/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-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Минпросвещения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России от 08.04.2021 № 153);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Минпросвещения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России от 24.08.2022 № 762);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Порядка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Минпросвещения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России от 08.11.2021 № 800);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Положения о практической подготовке обучающихся (Приказ Минобрнауки России № 885,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Минпросвещения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России № 390 от 05.08.2020);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Перечня профессий рабочих, должностей служащих, по которым осуществляется профессиональное обучение (Приказ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Минпросвещения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России от 14.07.2023 № 534);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55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Устава ГБПОУ РО «ВТОПиТ»;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Приказа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Минпросвещения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России от 17.05.2022 № 336 «Об утверждении перечней профессий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-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Минпросвещения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России от 13.12.2023 N 932).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1.2. Организация учебного процесса и режим занятий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Продолжительность учебных занятий составляет 45 мин, в расписании учебные занятия группируются парами.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Объем работы обучающихся во взаимодействии с преподавателями по видам учебных занятий составляет 36 часов в неделю.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Общий объем образовательной программы составляет 2952 часа: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общеобразовательный цикл (включая промежуточную аттестацию) – 1476 часа;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социально-гуманитарный цикл – 186 часов;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общепрофессиональный цикл – 222 часа;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профессиональный цикл – 1032 часов (включая учебную и производственную практики);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государственная итоговая аттестация – 36 часов.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Практика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реализации ППКРС предусматриваются следующие виды практик: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учебная практика;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производственная практика.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Учебная и производственная практики реализуются при освоении обучающимися профессиональных модулей: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учебная практика – 252 часа (7 недель)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производственная практика – 360 часов (10 недель)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Учебная практика проводится в лабораториях техникума. Учебная и производственная практики реализовываются как концентрированно в несколько периодов, так и рассредоточено, чередуясь с теоретическими занятиями в рамках профессиональных модулей.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Цели и задачи, программы и формы отчетности определяются по каждому виду практики.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обучающихся, на основе прямых договоров между организацией (предприятием) и ГБПОУ РО «ВТОПиТ».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прове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дении лабораторных работ, практических занятий, занятий по иностранному языку, на персональных компьютерах, учебных занятий по отдельным дисциплинам, перечень которых определяется методическим советом Техникума, учебная группа может делиться на подгруппы.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Получение СПО на базе основного общего образования осуществляется с одновременным получением среднего общего образования в пределах ОПОП.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Форма и процедуры текущего кон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троля знаний – устный, письменный (тесты, задачи, схемы и т.п.), деловые игры. Текущий контроль знаний предусматривает систематическую проверку качества полученных студентами компетенций по всем изучаемым в семестре дисциплинам и профессиональным модулям.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Формами текущей аттестации являются: письменные работы, самостоятельные работы, фронтальные работы, групповые работы, семинарские занятия, контрольные работы, срезовые работы, административные проверочные работы, тесты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т.д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Форму теку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щей аттестации определяет преподаватель с учетом контингента обучающихся, содержания учебного материала. Текущий контроль преподаватели проводят в пределах учебного времени как традиционными, так и инновационными методами, включая компьютерные технологии.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ными формами промежуточной аттестации являются: экзамен, квалификационный экзамен, дифференцированный зачет, зачет. При отсутствии в плане образовательного процесса формы промежуточной аттестации по дисциплине применяется накопительная система оценивания.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Промежуточная аттестация в форме зач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ета, дифференцированного зачета проводится за счет часов, отведенных на освоение соответствующего модуля или дисциплины. При проведении зачетов учитывается текущая успеваемость обучающихся. По окончании изучения модуля проводится квалификационный экзамен.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Промежуточная аттестация обучающихся проводится в течение каждого семестра, по мере выполнения программы по дисциплинам, в соответствии с учебным планом и графиком учебного процесса.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Государственная итоговая аттестация выпускников проводится в форме демонстрационного экзамена.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" w:name="_ops9akl9wnob"/>
      <w:r/>
      <w:bookmarkEnd w:id="1"/>
      <w:r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1.3. Общеобразовательный цикл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Общеобразовательный цикл основной профессиональной образовательной программы среднего профессионального образования по данной профессии сформирован с учетом профиля получаемого образования. Данная профессия относится к социально-экономическому профилю.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Общеобразовательные дисциплины изучаются рассредоточено одновременно с освоением программы подготовки квалифицированных рабочих и служащих. Умения и зна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ния, полученные обучающимися при освоении учебных дисциплин общеобразовательного цикла, углубляются и расширяются в процессе изучения по профессии дисциплин общепрофессионального цикла, а также отдельных дисциплин профессионального цикла ОПОП СПО (ППКРС).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Общеобразовательный цикл вклю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чает общеобразовательные учебные дисциплины: Русский язык, Литература, Иностранный язык, Математика, Информатика, История, Обществознание, География, Физика, Химия, Биология, Физическая культура, Основы безопасности и защиты родины, Индивидуальный проект.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Учет профессиональной направленности образовательной программы СПО осуществляется в виде формирования профессионально-ориентированного содержания в каждой общеобразовательной дисциплине.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Промежуточная аттестация обучающихся при освоении програм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мы среднего общего образования проводится в форме зачетов и дифференцированных зачетов, и экзаменов. Зачеты, дифференцированные зачеты – за счет времени, отведенного на общеобразовательную дисциплину, экзамены – за счет времени, отведенного учебным планом.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Завершающим этапом промежуточной аттестации являются экзамены по дисциплинам: - русский язык – письменно; - математика – письменно; - история – устно; обществознание - устно.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1.4. Формирование вариативной части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Вариативная часть образовательной программы составляет не менее 30 процентов от общего объема времени, дает возможность расширения основных видов деятельности, к которым должен быть готов выпускник, освоивший образовательную про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грамму, согласно получаемой квалификации, углубления профессиональной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вариативную часть отводится 432 часа.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Соотношение объемов обязательной части и вариативной чисти образовательной программы определена самостоятельно в соответствии с требованиями ФГОС СПО.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1.5. Порядок аттестации обучающихся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Оценка качества освоения основной профессиональной программы включает текущий контроль знаний, промежуточную и государственную итоговую аттестацию обучающихся.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Оценка качества подготовки студентов осуществляется в двух основных направлениях: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оценка уровня освоения дисциплин;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оценка компетенций студентов.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 юношей предусматривается оценка результатов освоения основ военной службы.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 оценки знаний, умений, общих и профессиональных компетенций разработаны контрольно-оценочные средства, фонды оценочных средств.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Промежу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точная аттестация обучающихся по дисциплинам и модулям проводится в форме зачетов и дифференцированных зачетов, экзаменов: зачеты, дифференцированные зачеты – за счет времени, отведенного дисциплину, экзамены – за счет времени, отведенного учебным планом.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Формой итоговой аттестации по модулю является квалификационный экзамен, который представляет собой форму независимой оценки результатов обучения с участием работодателей; по его итогам возможно присвоение выпускнику определенной квалификации.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Условием положительной аттестации на квалификационном экзамене является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етенций принимается решение «вид профессиональной деятельности не освоен». Условием допуска к квалификационному экзамену является успешное освоение обучающимися всех элементов программы профессионального модуля: теоретической части модуля (МДК) и практик.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Необходимым условием допус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 выпускников к государственной итоговой аттестации является представление документов, подтверждающих освоение обучающими компетенций при изучении теоретического материала и прохождении практики по каждому из основных видов профессиональной деятельности.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Государственная итоговая аттестация выпускников проводится в форме демонстрационного экзамена.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 Сводные данные по бюджету времени</w:t>
      </w:r>
      <w:r>
        <w:rPr>
          <w:rFonts w:ascii="Times New Roman" w:hAnsi="Times New Roman" w:eastAsia="Times New Roman" w:cs="Times New Roman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583969" cy="1467339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583969" cy="14673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518.42pt;height:115.54pt;mso-wrap-distance-left:0.00pt;mso-wrap-distance-top:0.00pt;mso-wrap-distance-right:0.00pt;mso-wrap-distance-bottom:0.00pt;z-index:1;">
                <v:imagedata r:id="rId10" o:title=""/>
                <o:lock v:ext="edit" rotation="t"/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ectPr>
          <w:footnotePr/>
          <w:endnotePr/>
          <w:type w:val="nextPage"/>
          <w:pgSz w:w="11906" w:h="16838" w:orient="portrait"/>
          <w:pgMar w:top="566" w:right="1133" w:bottom="566" w:left="1133" w:header="708" w:footer="708" w:gutter="0"/>
          <w:pgNumType w:start="1"/>
          <w:cols w:num="1" w:sep="0" w:space="720" w:equalWidth="1"/>
          <w:docGrid w:linePitch="360"/>
        </w:sectPr>
      </w:pPr>
      <w:r>
        <w:br w:type="page" w:clear="all"/>
      </w:r>
      <w:r/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3. План учебного процесса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975310" cy="6252311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975310" cy="62523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785.46pt;height:492.31pt;mso-wrap-distance-left:0.00pt;mso-wrap-distance-top:0.00pt;mso-wrap-distance-right:0.00pt;mso-wrap-distance-bottom:0.00pt;z-index:1;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</w:rPr>
      </w:r>
    </w:p>
    <w:p>
      <w:pPr>
        <w:jc w:val="both"/>
        <w:rPr>
          <w:rFonts w:ascii="Times New Roman" w:hAnsi="Times New Roman" w:eastAsia="Times New Roman" w:cs="Times New Roman"/>
        </w:rPr>
      </w:pPr>
      <w:r/>
      <w:bookmarkStart w:id="2" w:name="_GoBack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972040" cy="4692245"/>
                <wp:effectExtent l="0" t="0" r="0" b="0"/>
                <wp:docPr id="5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972040" cy="469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785.20pt;height:369.47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bookmarkEnd w:id="2"/>
      <w:r/>
      <w:r>
        <w:rPr>
          <w:rFonts w:ascii="Times New Roman" w:hAnsi="Times New Roman" w:eastAsia="Times New Roman" w:cs="Times New Roman"/>
        </w:rPr>
      </w:r>
    </w:p>
    <w:p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rPr>
          <w:rFonts w:ascii="Times New Roman" w:hAnsi="Times New Roman" w:eastAsia="Times New Roman" w:cs="Times New Roman"/>
        </w:rPr>
        <w:sectPr>
          <w:footnotePr/>
          <w:endnotePr/>
          <w:type w:val="nextPage"/>
          <w:pgSz w:w="16838" w:h="11906" w:orient="landscape"/>
          <w:pgMar w:top="567" w:right="567" w:bottom="567" w:left="567" w:header="708" w:footer="708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center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4. Перечень кабинетов, лабораторий, мастерских и других помещений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для подготовки профессии.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tabs>
          <w:tab w:val="left" w:pos="945" w:leader="none"/>
        </w:tabs>
        <w:rPr>
          <w:rFonts w:ascii="Times New Roman" w:hAnsi="Times New Roman" w:eastAsia="Times New Roman" w:cs="Times New Roman"/>
          <w:b/>
          <w:sz w:val="12"/>
          <w:szCs w:val="12"/>
        </w:rPr>
      </w:pPr>
      <w:r>
        <w:rPr>
          <w:rFonts w:ascii="Times New Roman" w:hAnsi="Times New Roman" w:eastAsia="Times New Roman" w:cs="Times New Roman"/>
          <w:b/>
          <w:sz w:val="12"/>
          <w:szCs w:val="12"/>
        </w:rPr>
      </w:r>
      <w:r>
        <w:rPr>
          <w:rFonts w:ascii="Times New Roman" w:hAnsi="Times New Roman" w:eastAsia="Times New Roman" w:cs="Times New Roman"/>
          <w:b/>
          <w:sz w:val="12"/>
          <w:szCs w:val="12"/>
        </w:rPr>
      </w:r>
    </w:p>
    <w:p>
      <w:pPr>
        <w:jc w:val="center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Наименование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Кабинеты: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Русский язык и литература; деловая культура;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Математика;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Физика;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Информатика;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Английский язык;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 Немецкий язык;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 Основы безопасности и защиты родины; Охрана труда; Стрелковый тир (электронный);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 Социально-экономические дисциплины; история и обществоведение;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9. Химия, микробиология, физиология питания, санитария и гигиена</w:t>
      </w: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10. Товароведение продовольственных товаров;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11. Техническое оснащение и организация рабочего места;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 Технология кулинарного и кондитерского производства;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/>
      <w:bookmarkStart w:id="3" w:name="_5775nl61kbiy"/>
      <w:r/>
      <w:bookmarkEnd w:id="3"/>
      <w:r>
        <w:rPr>
          <w:rFonts w:ascii="Times New Roman" w:hAnsi="Times New Roman" w:eastAsia="Times New Roman" w:cs="Times New Roman"/>
          <w:sz w:val="24"/>
          <w:szCs w:val="24"/>
        </w:rPr>
        <w:t xml:space="preserve">13. Организация и обслуживание, бухгалтерский учёт.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Спортивный комплекс: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Спортивный зал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Открытая площадка с элементами полосы препятствия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Залы: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Актовый зал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Библиотека, читальный зал с выходом в сеть Интернет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567" w:bottom="567" w:left="567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eorgia">
    <w:panose1 w:val="020405020504050203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1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1"/>
    <w:link w:val="62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1"/>
    <w:link w:val="6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1"/>
    <w:link w:val="6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1"/>
    <w:link w:val="6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1"/>
    <w:link w:val="6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4"/>
    <w:next w:val="62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4"/>
    <w:next w:val="62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4"/>
    <w:next w:val="62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1"/>
    <w:link w:val="635"/>
    <w:uiPriority w:val="10"/>
    <w:rPr>
      <w:sz w:val="48"/>
      <w:szCs w:val="48"/>
    </w:rPr>
  </w:style>
  <w:style w:type="character" w:styleId="38">
    <w:name w:val="Subtitle Char"/>
    <w:basedOn w:val="631"/>
    <w:link w:val="636"/>
    <w:uiPriority w:val="11"/>
    <w:rPr>
      <w:sz w:val="24"/>
      <w:szCs w:val="24"/>
    </w:rPr>
  </w:style>
  <w:style w:type="paragraph" w:styleId="39">
    <w:name w:val="Quote"/>
    <w:basedOn w:val="624"/>
    <w:next w:val="62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4"/>
    <w:next w:val="62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1"/>
    <w:link w:val="43"/>
    <w:uiPriority w:val="99"/>
  </w:style>
  <w:style w:type="paragraph" w:styleId="45">
    <w:name w:val="Footer"/>
    <w:basedOn w:val="6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1"/>
    <w:link w:val="45"/>
    <w:uiPriority w:val="99"/>
  </w:style>
  <w:style w:type="paragraph" w:styleId="47">
    <w:name w:val="Caption"/>
    <w:basedOn w:val="624"/>
    <w:next w:val="6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1"/>
    <w:uiPriority w:val="99"/>
    <w:unhideWhenUsed/>
    <w:rPr>
      <w:vertAlign w:val="superscript"/>
    </w:rPr>
  </w:style>
  <w:style w:type="paragraph" w:styleId="179">
    <w:name w:val="endnote text"/>
    <w:basedOn w:val="6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1"/>
    <w:uiPriority w:val="99"/>
    <w:semiHidden/>
    <w:unhideWhenUsed/>
    <w:rPr>
      <w:vertAlign w:val="superscript"/>
    </w:rPr>
  </w:style>
  <w:style w:type="paragraph" w:styleId="182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</w:style>
  <w:style w:type="paragraph" w:styleId="625">
    <w:name w:val="Heading 1"/>
    <w:basedOn w:val="624"/>
    <w:next w:val="624"/>
    <w:uiPriority w:val="9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26">
    <w:name w:val="Heading 2"/>
    <w:basedOn w:val="624"/>
    <w:next w:val="624"/>
    <w:uiPriority w:val="9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27">
    <w:name w:val="Heading 3"/>
    <w:basedOn w:val="624"/>
    <w:next w:val="624"/>
    <w:uiPriority w:val="9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28">
    <w:name w:val="Heading 4"/>
    <w:basedOn w:val="624"/>
    <w:next w:val="624"/>
    <w:uiPriority w:val="9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29">
    <w:name w:val="Heading 5"/>
    <w:basedOn w:val="624"/>
    <w:next w:val="624"/>
    <w:uiPriority w:val="9"/>
    <w:pPr>
      <w:keepLines/>
      <w:keepNext/>
      <w:spacing w:before="220" w:after="40"/>
      <w:outlineLvl w:val="4"/>
    </w:pPr>
    <w:rPr>
      <w:b/>
    </w:rPr>
  </w:style>
  <w:style w:type="paragraph" w:styleId="630">
    <w:name w:val="Heading 6"/>
    <w:basedOn w:val="624"/>
    <w:next w:val="624"/>
    <w:uiPriority w:val="9"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631" w:default="1">
    <w:name w:val="Default Paragraph Font"/>
    <w:uiPriority w:val="1"/>
    <w:semiHidden/>
    <w:unhideWhenUsed/>
  </w:style>
  <w:style w:type="table" w:styleId="6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3" w:default="1">
    <w:name w:val="No List"/>
    <w:uiPriority w:val="99"/>
    <w:semiHidden/>
    <w:unhideWhenUsed/>
  </w:style>
  <w:style w:type="table" w:styleId="634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635">
    <w:name w:val="Title"/>
    <w:basedOn w:val="624"/>
    <w:next w:val="624"/>
    <w:uiPriority w:val="10"/>
    <w:pPr>
      <w:keepLines/>
      <w:keepNext/>
      <w:spacing w:before="480" w:after="120"/>
    </w:pPr>
    <w:rPr>
      <w:b/>
      <w:sz w:val="72"/>
      <w:szCs w:val="72"/>
    </w:rPr>
  </w:style>
  <w:style w:type="paragraph" w:styleId="636">
    <w:name w:val="Subtitle"/>
    <w:basedOn w:val="624"/>
    <w:next w:val="624"/>
    <w:uiPriority w:val="11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637" w:customStyle="1">
    <w:name w:val="StGen0"/>
    <w:basedOn w:val="634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emf"/><Relationship Id="rId13" Type="http://schemas.openxmlformats.org/officeDocument/2006/relationships/image" Target="media/media1.sv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UchChast1</cp:lastModifiedBy>
  <cp:revision>4</cp:revision>
  <dcterms:created xsi:type="dcterms:W3CDTF">2026-08-26T09:55:00Z</dcterms:created>
  <dcterms:modified xsi:type="dcterms:W3CDTF">2026-10-19T10:20:35Z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C03D704B918E44B4B324943305597E93_12</vt:lpwstr>
  </property>
</Properties>
</file>